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Технічні вимоги до конкурсу на вибір виконавця для розроблення дизайну та MVP-десктопної веб-версії застосунку для проєкту «Університет для CDTO»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1. Предмет закупівлі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Предметом закупівлі є послуги з розроблення UX/UI-дизайну та frontend-розроблення десктопної веб-версії застосунку проєкту «Університет для CDTO» в частині ядра навчального процесу — функціоналу, необхідного для проходження навчання студентами та адміністрування навчального процесу кураторами.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2. Мета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Метою є розширення доступу студентів і кураторів до навчального контенту застосунку проєкту «Університет для CDTO» через веб-версію для десктопних і планшетних пристроїв, що доповнює наявну мобільну версію та знімає обмеження доступу лише з мобільного пристрою.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3. Перелік послуг</w:t>
      </w:r>
    </w:p>
    <w:p w:rsidR="00000000" w:rsidDel="00000000" w:rsidP="00000000" w:rsidRDefault="00000000" w:rsidRPr="00000000" w14:paraId="00000007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Виконавець повинен надати такі послуги: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зустрічей-брифінгів із зацікавленими сторонами проєкту;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розроблення UX/UI-дизайну десктопної веб-версії застосунку для трьох типів пристроїв на основі наявної дизайн-системи / UI-kit мобільного застосунку;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розроблення та доповнення наявного UI-kit компонентами, необхідними для десктопної версії (таблиці, фільтри, календарна сітка, модальні вікна тощо);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аудиту наявного REST API на достатність для реалізації функціоналу десктопної веб-версії з поданням окремого звіту про виявлені розриви (за наявності);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frontend-розроблення десктопної веб-версії застосунку на технологіях React, Next.js з інтеграцією до наявного backend без змін до нього;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передавання дизайн-матеріалів у форматі Figma.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4. Результати робіт</w:t>
      </w:r>
    </w:p>
    <w:p w:rsidR="00000000" w:rsidDel="00000000" w:rsidP="00000000" w:rsidRDefault="00000000" w:rsidRPr="00000000" w14:paraId="0000000F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 результатами виконання робіт Виконавець передає Замовнику: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Figma-файл із дизайном усіх екранів для трьох брейкпоінтів (десктоп, планшет, мобільний веб-браузер), включно зі станами (фільтрація, списки, пагінація, валідація форм, порожні та помилкові стани);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доповнений UI-kit у Figma;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дизайн-концепт (кольори, шрифти, графічні елементи) у складі Figma-файлу;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звіт про аудит наявного REST API на достатність для реалізації десктопної веб-версії — окремим документом;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вихідний код веб-версії у GitLab-репозиторії проєкту;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розгорнута версія веб-застосунку в тестовому середовищі.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5. Обсяг робіт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Орієнтовний обсяг робіт становить близько 50 екранів, включно з їх станами: фільтрація, списки, пагінація, валідація форм, порожні та помилкові стани.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6. Межі обсягу робіт</w:t>
      </w:r>
    </w:p>
    <w:p w:rsidR="00000000" w:rsidDel="00000000" w:rsidP="00000000" w:rsidRDefault="00000000" w:rsidRPr="00000000" w14:paraId="00000019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Обмеження обсягу робіт: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розроблення має бути використана наявна адміністративна панель, яка є джерелом даних (коди, тривалість лекцій, ролі тощо) і в обсяг розроблення не входить;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backend змінам не підлягає; інтеграція виконується з наявним REST API.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7. Локалізація</w:t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Інтерфейс повинен підтримувати українську та англійську мови. Обидві мовні версії реалізовані в мобільному застосунку; веб-версія відтворює обидві.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8. Вимоги до дизайну</w:t>
      </w:r>
    </w:p>
    <w:p w:rsidR="00000000" w:rsidDel="00000000" w:rsidP="00000000" w:rsidRDefault="00000000" w:rsidRPr="00000000" w14:paraId="0000001F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Дизайн повинен відповідати таким вимогам: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єдина візуальна стилістика на всіх сторінках десктопної версії, узгоджена з наявною дизайн-системою мобільного застосунку;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дизайн-концепт містить визначення кольорів, шрифтів і графічних елементів;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анімації інтерфейсу не блокують взаємодію користувача та не збільшують час відгуку інтерфейсу;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глибина опрацювання UX (нові сценарії / прототипи або візуальна адаптація наявного UX) визначається дизайнером виконавця;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дизайн-матеріали передаються у форматі Figma.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9. Технологічні вимоги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9.1. Підтримувані браузери</w:t>
      </w:r>
    </w:p>
    <w:p w:rsidR="00000000" w:rsidDel="00000000" w:rsidP="00000000" w:rsidRDefault="00000000" w:rsidRPr="00000000" w14:paraId="00000027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Веб-версія повинна коректно функціонувати в таких браузерах (мінімальні версії станом на 07.07.2026):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Google Chrome — від 148;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Mozilla Firefox — від 150;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Microsoft Edge — від 147;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 — від 131;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Apple Safari — від 18;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допускаються незначні відмінності у відображенні та поведінці елементів між браузерами.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9.2. Адаптивність</w:t>
      </w:r>
    </w:p>
    <w:p w:rsidR="00000000" w:rsidDel="00000000" w:rsidP="00000000" w:rsidRDefault="00000000" w:rsidRPr="00000000" w14:paraId="0000002F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Веб-версія повинна підтримувати такі діапазони ширини екрана: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десктоп — від 1280 px;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планшет — 768–1279 px;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мобільний веб-браузер — 375–767 px.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9.3. Технологічний стек</w:t>
      </w:r>
    </w:p>
    <w:p w:rsidR="00000000" w:rsidDel="00000000" w:rsidP="00000000" w:rsidRDefault="00000000" w:rsidRPr="00000000" w14:paraId="00000034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Технологічний стек: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React, Next.js;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інтеграція з наявним REST API backend (PHP, PostgreSQL) без змін backend;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адаптивна верстка (responsive design) для десктопа, планшета та мобільного веб-браузера;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Docker, Docker Compose, GitLab, GitLab CI — узгоджено з поточною інфраструктурою проєкту.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9.4. Вимоги до безпеки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120" w:before="240" w:line="240" w:lineRule="auto"/>
        <w:rPr>
          <w:rFonts w:ascii="Calibri" w:cs="Calibri" w:eastAsia="Calibri" w:hAnsi="Calibri"/>
          <w:color w:val="1f4d7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d78"/>
          <w:sz w:val="24"/>
          <w:szCs w:val="24"/>
          <w:rtl w:val="0"/>
        </w:rPr>
        <w:t xml:space="preserve">9.4.1. Загальні вимоги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застосування методів безпечного програмування;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запобігання несанкціонованому доступу до інформації та передаванню її особам, які не мають права доступу;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проходження базового аудиту безпеки / контрольного переліку перед здаванням проєкту.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after="120" w:before="240" w:line="240" w:lineRule="auto"/>
        <w:rPr>
          <w:rFonts w:ascii="Calibri" w:cs="Calibri" w:eastAsia="Calibri" w:hAnsi="Calibri"/>
          <w:color w:val="1f4d7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d78"/>
          <w:sz w:val="24"/>
          <w:szCs w:val="24"/>
          <w:rtl w:val="0"/>
        </w:rPr>
        <w:t xml:space="preserve">9.4.2. Відповідність OWASP Top 10:2025</w:t>
      </w:r>
    </w:p>
    <w:p w:rsidR="00000000" w:rsidDel="00000000" w:rsidP="00000000" w:rsidRDefault="00000000" w:rsidRPr="00000000" w14:paraId="0000003F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Веб-версія повинна відповідати вимогам OWASP Top 10:2025: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A01:2025 — Broken Access Control;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A02:2025 — Security Misconfiguration;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A03:2025 — Software Supply Chain Failures;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A04:2025 — Cryptographic Failures;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A05:2025 — Injection;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A06:2025 — Insecure Design;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A07:2025 — Authentication Failures;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A08:2025 — Software or Data Integrity Failures;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A09:2025 — Security Logging &amp; Alerting Failures;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A10:2025 — Mishandling of Exceptional Conditions.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after="120" w:before="240" w:line="240" w:lineRule="auto"/>
        <w:rPr>
          <w:rFonts w:ascii="Calibri" w:cs="Calibri" w:eastAsia="Calibri" w:hAnsi="Calibri"/>
          <w:color w:val="1f4d7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d78"/>
          <w:sz w:val="24"/>
          <w:szCs w:val="24"/>
          <w:rtl w:val="0"/>
        </w:rPr>
        <w:t xml:space="preserve">9.4.3. Автентифікація та авторизація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токени доступу (JWT або аналог) з обмеженим часом життя (access token) та механізмом оновлення (refresh token);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зберігання токенів у httpOnly, Secure, SameSite=Strict/Lax cookie, не в localStorage / sessionStorage;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захист від privilege escalation: унеможливлення підміни ролі або ідентифікатора користувача через маніпуляції із запитом;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обмеження кількості спроб входу (rate limiting / lockout) на кінцевих точках автентифікації.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after="120" w:before="240" w:line="240" w:lineRule="auto"/>
        <w:rPr>
          <w:rFonts w:ascii="Calibri" w:cs="Calibri" w:eastAsia="Calibri" w:hAnsi="Calibri"/>
          <w:color w:val="1f4d7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d78"/>
          <w:sz w:val="24"/>
          <w:szCs w:val="24"/>
          <w:rtl w:val="0"/>
        </w:rPr>
        <w:t xml:space="preserve">9.4.4. Захист даних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обов'язкове використання HTTPS (TLS 1.2+) для всього трафіку, заголовок HSTS;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валідація та санітизація всіх вхідних даних на frontend;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захист від XSS: екранування виводу, Content Security Policy (CSP), заборона inline-скриптів;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захист від CSRF: CSRF-токени або SameSite cookies для запитів, що змінюють стан;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заборона передавання чутливих даних (токенів, персональних даних) в URL-параметрах або в журналах логування.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4b5"/>
          <w:sz w:val="32"/>
          <w:szCs w:val="32"/>
          <w:rtl w:val="0"/>
        </w:rPr>
        <w:t xml:space="preserve">10. Функціональні вимоги</w:t>
      </w:r>
    </w:p>
    <w:p w:rsidR="00000000" w:rsidDel="00000000" w:rsidP="00000000" w:rsidRDefault="00000000" w:rsidRPr="00000000" w14:paraId="00000056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Десктопна версія повинна відтворювати функціональні можливості мобільного застосунку для ролей «Студент» і «Куратор».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10.1. Функціонал, спільний для ролей «Студент» і «Куратор»</w:t>
      </w:r>
    </w:p>
    <w:p w:rsidR="00000000" w:rsidDel="00000000" w:rsidP="00000000" w:rsidRDefault="00000000" w:rsidRPr="00000000" w14:paraId="00000058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Веб-версія повинна забезпечувати: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реєстрацію (студент — за кодом групи / кодом студента; куратор — за кодом запрошення з адміністративної панелі);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перегляд профілів користувачів (лекторів, кураторів, студентів);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перегляд інформації про проєкт.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10.2. Роль «Куратор»</w:t>
      </w:r>
    </w:p>
    <w:p w:rsidR="00000000" w:rsidDel="00000000" w:rsidP="00000000" w:rsidRDefault="00000000" w:rsidRPr="00000000" w14:paraId="0000005D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ролі «Куратор» веб-версія повинна забезпечувати: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«Групи» — перелік груп, створених куратором;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створення групи: назва групи, вибір курсу (одна група — один курс), посилання на чат групи, генерація коду запрошення до групи;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«Календар» — календарна сітка днів з лекціями груп куратора, фільтр за групами (за замовчуванням — перша група у списку);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додавання лекції до календаря: вибір модуля → теми → лекції курсу поточної групи, вибір / заміна групи, вибір / заміна лектора, вибір дати та часу початку лекції, перегляд тривалості лекції (з адміністративної панелі), додавання посилання на трансляцію та місця проведення;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«Курси» — перелік усіх курсів, занесених до адміністративної панелі;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перегляд статистики наповненості курсу групами;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перегляд журналу оцінок групи (за модулями, з фільтрами за темою та окремою лекцією);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виконання ролі лектора, якщо це зазначено в адміністративній панелі.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10.3. Роль «Студент»</w:t>
      </w:r>
    </w:p>
    <w:p w:rsidR="00000000" w:rsidDel="00000000" w:rsidP="00000000" w:rsidRDefault="00000000" w:rsidRPr="00000000" w14:paraId="00000067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ролі «Студент» веб-версія повинна забезпечувати: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«Курс» — інформація про курс, який проходить студент (прив'язаний до групи куратором);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«Завдання» — вкладки «Нові» (невиконані завдання), «Виконані» (здані, ще не оцінені), «Перевірені» (оцінені лектором або автоматично);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виконання блоку «тест»: типи питань — одна правильна відповідь, мультивибір, поєднання блоків тексту; автоматичний розрахунок балів та відображення результату (вірно / частково вірно / невірно);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виконання блоку «креатив»: одне або декілька питань із вільною текстовою відповіддю; після відправлення завдання переходить на перевірку лектору;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«Календар» — календар лекцій студента (сітка днів, лекції обраної дати);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розділ «Оцінки» — особистий журнал балів студента (за модулями, з фільтром за темою).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before="240" w:line="240" w:lineRule="auto"/>
        <w:rPr>
          <w:rFonts w:ascii="Calibri" w:cs="Calibri" w:eastAsia="Calibri" w:hAnsi="Calibri"/>
          <w:color w:val="2e74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4b5"/>
          <w:sz w:val="26"/>
          <w:szCs w:val="26"/>
          <w:rtl w:val="0"/>
        </w:rPr>
        <w:t xml:space="preserve">10.4. Загальносистемний функціонал</w:t>
      </w:r>
    </w:p>
    <w:p w:rsidR="00000000" w:rsidDel="00000000" w:rsidP="00000000" w:rsidRDefault="00000000" w:rsidRPr="00000000" w14:paraId="0000006F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Десктопна версія повинна відображати загальносистемний функціонал: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система оцінювання — розрахунок балів для типів питань блоку «тест» та ручна оцінка блоку «креатив» лектором (сума завжди 100 балів на завдання);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журнал оцінок — окремо групи (для куратора) та студента (для студента), у табличному вигляді, з фільтрами за темою / лекцією.</w:t>
      </w:r>
    </w:p>
    <w:p w:rsidR="00000000" w:rsidDel="00000000" w:rsidP="00000000" w:rsidRDefault="00000000" w:rsidRPr="00000000" w14:paraId="00000072">
      <w:pPr>
        <w:spacing w:after="100" w:line="240" w:lineRule="auto"/>
        <w:ind w:left="420" w:firstLine="0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