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16803569" w14:textId="7C059EBB" w:rsidR="00C46DD1" w:rsidRPr="00BB5FD8" w:rsidRDefault="003F7D79" w:rsidP="00BB5FD8">
          <w:pPr>
            <w:pStyle w:val="af0"/>
            <w:rPr>
              <w:rFonts w:ascii="Arial" w:hAnsi="Arial" w:cs="Arial"/>
              <w:sz w:val="48"/>
              <w:szCs w:val="48"/>
              <w:lang w:val="en-US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76C053F1" w14:textId="76D86C71" w:rsidR="009540E1" w:rsidRPr="00BB5FD8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9059F2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9059F2">
            <w:rPr>
              <w:rFonts w:ascii="Times New Roman" w:hAnsi="Times New Roman" w:cs="Times New Roman"/>
              <w:b/>
              <w:bCs/>
              <w:lang w:val="uk-UA"/>
            </w:rPr>
            <w:t xml:space="preserve"> </w:t>
          </w:r>
          <w:r w:rsidR="003501A9" w:rsidRPr="00F06343">
            <w:rPr>
              <w:rFonts w:ascii="Arial" w:hAnsi="Arial" w:cs="Arial"/>
              <w:lang w:val="uk-UA"/>
            </w:rPr>
            <w:t xml:space="preserve">послуги </w:t>
          </w:r>
          <w:r w:rsidR="00F06343" w:rsidRPr="00F06343">
            <w:rPr>
              <w:rFonts w:ascii="Arial" w:hAnsi="Arial" w:cs="Arial"/>
              <w:lang w:val="uk-UA"/>
            </w:rPr>
            <w:t>із модернізації</w:t>
          </w:r>
          <w:r w:rsidR="00BB5FD8" w:rsidRPr="00BB5FD8">
            <w:rPr>
              <w:rFonts w:ascii="Arial" w:hAnsi="Arial" w:cs="Arial"/>
              <w:lang w:val="uk-UA"/>
            </w:rPr>
            <w:t xml:space="preserve"> </w:t>
          </w:r>
          <w:r w:rsidR="00BB5FD8" w:rsidRPr="00BB5FD8">
            <w:rPr>
              <w:rFonts w:ascii="Arial" w:hAnsi="Arial" w:cs="Arial"/>
              <w:lang w:val="uk-UA"/>
            </w:rPr>
            <w:t xml:space="preserve">програмного забезпечення Електронної інформаційної системи обліку вирощених рослин конопель для медичних цілей, переміщення таких рослин, продуктів їх переробки, рослинної субстанції </w:t>
          </w:r>
          <w:proofErr w:type="spellStart"/>
          <w:r w:rsidR="00BB5FD8" w:rsidRPr="00BB5FD8">
            <w:rPr>
              <w:rFonts w:ascii="Arial" w:hAnsi="Arial" w:cs="Arial"/>
              <w:lang w:val="uk-UA"/>
            </w:rPr>
            <w:t>канабісу</w:t>
          </w:r>
          <w:proofErr w:type="spellEnd"/>
          <w:r w:rsidR="00BB5FD8" w:rsidRPr="00BB5FD8">
            <w:rPr>
              <w:rFonts w:ascii="Arial" w:hAnsi="Arial" w:cs="Arial"/>
              <w:lang w:val="uk-UA"/>
            </w:rPr>
            <w:t>, вироблених (виготовлених) із них лікарських засобів на всіх етапах обігу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5F386320" w14:textId="61D679A5" w:rsidR="00F06343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F06343">
            <w:rPr>
              <w:rFonts w:ascii="Arial" w:eastAsia="SimSun" w:hAnsi="Arial" w:cs="Arial"/>
              <w:kern w:val="2"/>
              <w:lang w:val="uk-UA" w:eastAsia="zh-CN"/>
            </w:rPr>
            <w:t xml:space="preserve">послуг </w:t>
          </w:r>
          <w:r w:rsidR="00F06343" w:rsidRPr="00F06343">
            <w:rPr>
              <w:rFonts w:ascii="Arial" w:hAnsi="Arial" w:cs="Arial"/>
              <w:lang w:val="uk-UA"/>
            </w:rPr>
            <w:t xml:space="preserve">із модернізації </w:t>
          </w:r>
          <w:r w:rsidR="00BB5FD8" w:rsidRPr="00BB5FD8">
            <w:rPr>
              <w:rFonts w:ascii="Arial" w:hAnsi="Arial" w:cs="Arial"/>
              <w:lang w:val="uk-UA"/>
            </w:rPr>
            <w:t xml:space="preserve">програмного забезпечення Електронної інформаційної системи обліку вирощених рослин конопель для медичних цілей, переміщення таких рослин, продуктів їх переробки, рослинної субстанції </w:t>
          </w:r>
          <w:proofErr w:type="spellStart"/>
          <w:r w:rsidR="00BB5FD8" w:rsidRPr="00BB5FD8">
            <w:rPr>
              <w:rFonts w:ascii="Arial" w:hAnsi="Arial" w:cs="Arial"/>
              <w:lang w:val="uk-UA"/>
            </w:rPr>
            <w:t>канабісу</w:t>
          </w:r>
          <w:proofErr w:type="spellEnd"/>
          <w:r w:rsidR="00BB5FD8" w:rsidRPr="00BB5FD8">
            <w:rPr>
              <w:rFonts w:ascii="Arial" w:hAnsi="Arial" w:cs="Arial"/>
              <w:lang w:val="uk-UA"/>
            </w:rPr>
            <w:t>, вироблених (виготовлених) із них лікарських засобів на всіх етапах обігу</w:t>
          </w:r>
          <w:r w:rsidR="00F06343">
            <w:rPr>
              <w:rFonts w:ascii="Arial" w:hAnsi="Arial" w:cs="Arial"/>
              <w:lang w:val="uk-UA"/>
            </w:rPr>
            <w:t>.</w:t>
          </w:r>
          <w:r w:rsidR="00F06343"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</w:p>
        <w:p w14:paraId="3A4CAA2C" w14:textId="3C4FDF5A" w:rsidR="009540E1" w:rsidRPr="00D0235D" w:rsidRDefault="009540E1" w:rsidP="00F06343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включати Загальновиробничі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з розробки та управління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проектами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, оренда сервісних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потужностей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Оренда офісного приміщення та інші послуги з обслуговування офісу.           Адміністративні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Витрати на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професійно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*по курсу НБУ на дату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подання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4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3B36" w14:textId="77777777" w:rsidR="00B97B25" w:rsidRDefault="00B97B25" w:rsidP="00251C8C">
      <w:pPr>
        <w:spacing w:after="0" w:line="240" w:lineRule="auto"/>
      </w:pPr>
      <w:r>
        <w:separator/>
      </w:r>
    </w:p>
  </w:endnote>
  <w:endnote w:type="continuationSeparator" w:id="0">
    <w:p w14:paraId="281115F7" w14:textId="77777777" w:rsidR="00B97B25" w:rsidRDefault="00B97B25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BCEA" w14:textId="77777777" w:rsidR="00B97B25" w:rsidRDefault="00B97B25" w:rsidP="00251C8C">
      <w:pPr>
        <w:spacing w:after="0" w:line="240" w:lineRule="auto"/>
      </w:pPr>
      <w:r>
        <w:separator/>
      </w:r>
    </w:p>
  </w:footnote>
  <w:footnote w:type="continuationSeparator" w:id="0">
    <w:p w14:paraId="39C10E8F" w14:textId="77777777" w:rsidR="00B97B25" w:rsidRDefault="00B97B25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 w:rsidP="00F06343">
    <w:pPr>
      <w:pStyle w:val="ab"/>
      <w:ind w:left="284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501A9"/>
    <w:rsid w:val="0039736D"/>
    <w:rsid w:val="003C5986"/>
    <w:rsid w:val="003F7D79"/>
    <w:rsid w:val="00421447"/>
    <w:rsid w:val="00424BB0"/>
    <w:rsid w:val="0043201E"/>
    <w:rsid w:val="00467954"/>
    <w:rsid w:val="00485972"/>
    <w:rsid w:val="004D0E21"/>
    <w:rsid w:val="004D42E9"/>
    <w:rsid w:val="004E4052"/>
    <w:rsid w:val="00525DD4"/>
    <w:rsid w:val="00526CC8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809"/>
    <w:rsid w:val="0079759C"/>
    <w:rsid w:val="007D6D2F"/>
    <w:rsid w:val="009059F2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97B25"/>
    <w:rsid w:val="00BA05C5"/>
    <w:rsid w:val="00BB5FD8"/>
    <w:rsid w:val="00C10EEB"/>
    <w:rsid w:val="00C46DD1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46B1C"/>
    <w:rsid w:val="00E7232F"/>
    <w:rsid w:val="00E876A6"/>
    <w:rsid w:val="00EB0247"/>
    <w:rsid w:val="00ED3056"/>
    <w:rsid w:val="00F06343"/>
    <w:rsid w:val="00F26AFE"/>
    <w:rsid w:val="00F57BB2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724</Words>
  <Characters>4887</Characters>
  <Application>Microsoft Office Word</Application>
  <DocSecurity>0</DocSecurity>
  <Lines>81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5</cp:revision>
  <dcterms:created xsi:type="dcterms:W3CDTF">2026-01-28T09:14:00Z</dcterms:created>
  <dcterms:modified xsi:type="dcterms:W3CDTF">2026-06-19T15:32:00Z</dcterms:modified>
</cp:coreProperties>
</file>