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spacing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Технічне завдання на розроблення навчального плану онлайн-курсу </w:t>
      </w:r>
    </w:p>
    <w:p w:rsidR="00000000" w:rsidDel="00000000" w:rsidP="00000000" w:rsidRDefault="00000000" w:rsidRPr="00000000" w14:paraId="00000002">
      <w:pPr>
        <w:keepNext w:val="1"/>
        <w:keepLines w:val="0"/>
        <w:spacing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«Цифровий амбасадор»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 Освітній онлайн-платформі Зрозуміло!</w:t>
      </w:r>
    </w:p>
    <w:p w:rsidR="00000000" w:rsidDel="00000000" w:rsidP="00000000" w:rsidRDefault="00000000" w:rsidRPr="00000000" w14:paraId="00000003">
      <w:pPr>
        <w:keepNext w:val="1"/>
        <w:keepLines w:val="0"/>
        <w:spacing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Загальна інформація: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підвищувати цифрову грамотність громад, готувати цифрових амбасадорів для впровадження е-послуг та підтримки цифровізації.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Формат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нтро + </w:t>
      </w:r>
      <w:r w:rsidDel="00000000" w:rsidR="00000000" w:rsidRPr="00000000">
        <w:rPr>
          <w:rFonts w:ascii="Roboto" w:cs="Roboto" w:eastAsia="Roboto" w:hAnsi="Roboto"/>
          <w:color w:val="444746"/>
          <w:sz w:val="21"/>
          <w:szCs w:val="21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color w:val="444746"/>
          <w:sz w:val="24"/>
          <w:szCs w:val="24"/>
          <w:rtl w:val="0"/>
        </w:rPr>
        <w:t xml:space="preserve">10 до 14 лекцій, орієнтовний об'єм однієї лекції - 8500 знаків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Строки виконання визначаються договором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Кількість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лекцій 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об'єм можуть бути змінені.</w:t>
      </w:r>
    </w:p>
    <w:p w:rsidR="00000000" w:rsidDel="00000000" w:rsidP="00000000" w:rsidRDefault="00000000" w:rsidRPr="00000000" w14:paraId="00000009">
      <w:pPr>
        <w:keepNext w:val="0"/>
        <w:keepLines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Завдання підрядника: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озробити структуру курсу;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надати текстові матеріали для створення лекцій;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підготувати методичні матеріали, чеклісти і тестові завдання;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узгодити матеріали з командою замовника;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забезпечити універсальність матеріалів та збереження їхньої актуальності протягом тривалого часу (без прив’язки до інтерфейсів).</w:t>
      </w:r>
    </w:p>
    <w:p w:rsidR="00000000" w:rsidDel="00000000" w:rsidP="00000000" w:rsidRDefault="00000000" w:rsidRPr="00000000" w14:paraId="0000000F">
      <w:pPr>
        <w:keepNext w:val="0"/>
        <w:keepLines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Вимоги до матеріалів: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Кожна лекція міститиме: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Мету та ключові теми.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Очікувані результати навчання.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Практичні завдання, алгоритми виконання.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Методичні матеріали (тексти лекцій, кейси з громад, інструкції, інфографіку, корисні посилання)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Тести: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формат тестування проміжного або за темами;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підсумкове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highlight w:val="white"/>
          <w:rtl w:val="0"/>
        </w:rPr>
        <w:t xml:space="preserve"> — після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перегляду всіх лекцій. </w:t>
      </w:r>
    </w:p>
    <w:p w:rsidR="00000000" w:rsidDel="00000000" w:rsidP="00000000" w:rsidRDefault="00000000" w:rsidRPr="00000000" w14:paraId="00000018">
      <w:pPr>
        <w:keepNext w:val="0"/>
        <w:keepLines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Орієнтовні теми лекцій: </w:t>
      </w:r>
    </w:p>
    <w:p w:rsidR="00000000" w:rsidDel="00000000" w:rsidP="00000000" w:rsidRDefault="00000000" w:rsidRPr="00000000" w14:paraId="00000019">
      <w:pPr>
        <w:keepNext w:val="0"/>
        <w:keepLines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Інтро: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Хто такий цифровий амбасадор. Кейси та користь для громади.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Амбасадор як провідник змін.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Робота з різними групами.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Навчальні плани та метрики.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Базові цифрові навички.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Кібер-ризики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Обліковий запис та соцмережі.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Е-здоров’я та освіта.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Онлайн-фінанси.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Е-послуги держави.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Smart City.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Комунікація амбасадора.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Самоосвіта, AI, розвиток.</w:t>
      </w:r>
    </w:p>
    <w:p w:rsidR="00000000" w:rsidDel="00000000" w:rsidP="00000000" w:rsidRDefault="00000000" w:rsidRPr="00000000" w14:paraId="00000026">
      <w:pPr>
        <w:keepNext w:val="0"/>
        <w:keepLines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Примітки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Основний акцент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highlight w:val="white"/>
          <w:rtl w:val="0"/>
        </w:rPr>
        <w:t xml:space="preserve"> 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принципи роботи, переваги та можливості цифрових інструментів.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Матеріали мають залишатися актуальними незалежно від змін інтерфейсів.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тем та матеріалів не є вичерпним і може доповнюватися додатковими документами, графікою, субтитрами тощо.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25.78740157480524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