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color w:val="000000"/>
          <w:sz w:val="48"/>
          <w:szCs w:val="48"/>
          <w:rtl w:val="0"/>
        </w:rPr>
        <w:t xml:space="preserve">Заявка на участь у конкурсі на закупівлю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rPr>
          <w:rFonts w:ascii="Arial" w:cs="Arial" w:eastAsia="Arial" w:hAnsi="Arial"/>
          <w:i w:val="1"/>
          <w:color w:val="2e2e2e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1"/>
          <w:color w:val="2e2e2e"/>
          <w:sz w:val="24"/>
          <w:szCs w:val="24"/>
          <w:rtl w:val="0"/>
        </w:rPr>
        <w:t xml:space="preserve">робіт з облаштування  архітектурної підсвітки адміністративної будівлі Міністерства Фінансів України по вул. Межигірська, 11, м. Київ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Arial" w:cs="Arial" w:eastAsia="Arial" w:hAnsi="Arial"/>
          <w:i w:val="1"/>
          <w:color w:val="2e2e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Дата заявки:</w:t>
        <w:tab/>
        <w:t xml:space="preserve">_____________________    </w:t>
      </w:r>
    </w:p>
    <w:p w:rsidR="00000000" w:rsidDel="00000000" w:rsidP="00000000" w:rsidRDefault="00000000" w:rsidRPr="00000000" w14:paraId="00000005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Учасник/-ця: ____________________________________________________________________________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after="280" w:before="280" w:line="240" w:lineRule="auto"/>
        <w:ind w:firstLine="142"/>
        <w:jc w:val="center"/>
        <w:rPr>
          <w:rFonts w:ascii="Arial" w:cs="Arial" w:eastAsia="Arial" w:hAnsi="Arial"/>
          <w:i w:val="1"/>
          <w:vertAlign w:val="superscript"/>
        </w:rPr>
      </w:pP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(повна назва, код ЄДРПОУ, адреса фактичного місцеперебування)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i w:val="1"/>
          <w:color w:val="2e2e2e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Повністю ознайомившись та погоджуючись із умовами проведення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конкурсу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та переліком необхідної конкурсної документації, надсилаю вам відповідні документи для участі в конкурсі на закупівлю </w:t>
      </w:r>
      <w:r w:rsidDel="00000000" w:rsidR="00000000" w:rsidRPr="00000000">
        <w:rPr>
          <w:rFonts w:ascii="Arial" w:cs="Arial" w:eastAsia="Arial" w:hAnsi="Arial"/>
          <w:i w:val="1"/>
          <w:color w:val="2e2e2e"/>
          <w:sz w:val="24"/>
          <w:szCs w:val="24"/>
          <w:u w:val="single"/>
          <w:rtl w:val="0"/>
        </w:rPr>
        <w:t xml:space="preserve">робіт з облаштування  архітектурної підсвітки адміністративної будівлі Міністерства Фінансів України по вул. Межигірська, 11, м. Київ. У разі перемоги зобов'язуємось виконати роботи, зазначені в документації, </w:t>
      </w:r>
    </w:p>
    <w:p w:rsidR="00000000" w:rsidDel="00000000" w:rsidP="00000000" w:rsidRDefault="00000000" w:rsidRPr="00000000" w14:paraId="00000008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 «29»  лютого  2024 року. </w:t>
      </w:r>
    </w:p>
    <w:p w:rsidR="00000000" w:rsidDel="00000000" w:rsidP="00000000" w:rsidRDefault="00000000" w:rsidRPr="00000000" w14:paraId="00000009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Ми погоджуємося дотримуватися умов цієї заявки протягом 30 робочих днів після останньої дати (дня) проведення конкурсу, установленої вами. Зобов’язуємося виконати пункти, викладені у нашій тендерній пропозиції. </w:t>
      </w:r>
    </w:p>
    <w:p w:rsidR="00000000" w:rsidDel="00000000" w:rsidP="00000000" w:rsidRDefault="00000000" w:rsidRPr="00000000" w14:paraId="0000000A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Відповідальний/-а за участь у конкурсі ___________________________________________.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Телефон: __________________________________________________________________.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Електронна адреса: _________________________________________________________.</w:t>
      </w:r>
    </w:p>
    <w:p w:rsidR="00000000" w:rsidDel="00000000" w:rsidP="00000000" w:rsidRDefault="00000000" w:rsidRPr="00000000" w14:paraId="0000000E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Підпис уповноваженого представника організації-претендента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80" w:before="28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М. П.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Відомості про виконавця/-ицю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0"/>
        <w:gridCol w:w="3795"/>
        <w:gridCol w:w="5103"/>
        <w:tblGridChange w:id="0">
          <w:tblGrid>
            <w:gridCol w:w="520"/>
            <w:gridCol w:w="3795"/>
            <w:gridCol w:w="5103"/>
          </w:tblGrid>
        </w:tblGridChange>
      </w:tblGrid>
      <w:tr>
        <w:trPr>
          <w:cantSplit w:val="0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№ з/п</w:t>
            </w:r>
          </w:p>
        </w:tc>
        <w:tc>
          <w:tcPr>
            <w:shd w:fill="bdd7ee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Вимоги</w:t>
            </w:r>
          </w:p>
        </w:tc>
        <w:tc>
          <w:tcPr>
            <w:shd w:fill="bdd7ee" w:val="clear"/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Для заповнення</w:t>
            </w:r>
          </w:p>
        </w:tc>
      </w:tr>
      <w:tr>
        <w:trPr>
          <w:cantSplit w:val="0"/>
          <w:trHeight w:val="1628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97" w:hanging="17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Повне найменування учасника/-ці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97" w:hanging="17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Ідентифікаційний код учасника/-ці в ЄДР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3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97" w:hanging="17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Види економічної діяльності учасника/-ці (першим має бути зазначений основний вид діяльності)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97" w:hanging="17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0">
            <w:pPr>
              <w:spacing w:after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Місцеперебування:</w:t>
            </w:r>
          </w:p>
          <w:p w:rsidR="00000000" w:rsidDel="00000000" w:rsidP="00000000" w:rsidRDefault="00000000" w:rsidRPr="00000000" w14:paraId="00000021">
            <w:pPr>
              <w:spacing w:after="280"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юридична адреса</w:t>
            </w:r>
          </w:p>
          <w:p w:rsidR="00000000" w:rsidDel="00000000" w:rsidP="00000000" w:rsidRDefault="00000000" w:rsidRPr="00000000" w14:paraId="00000022">
            <w:pPr>
              <w:spacing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97" w:hanging="17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5">
            <w:pPr>
              <w:spacing w:after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Місцеперебування:</w:t>
            </w:r>
          </w:p>
          <w:p w:rsidR="00000000" w:rsidDel="00000000" w:rsidP="00000000" w:rsidRDefault="00000000" w:rsidRPr="00000000" w14:paraId="00000026">
            <w:pPr>
              <w:spacing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фактична адреса </w:t>
              <w:br w:type="textWrapping"/>
              <w:t xml:space="preserve">(якщо відрізняється </w:t>
              <w:br w:type="textWrapping"/>
              <w:t xml:space="preserve">від юридичної)</w:t>
            </w:r>
          </w:p>
          <w:p w:rsidR="00000000" w:rsidDel="00000000" w:rsidP="00000000" w:rsidRDefault="00000000" w:rsidRPr="00000000" w14:paraId="00000027">
            <w:pPr>
              <w:spacing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97" w:hanging="17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Банківські реквізити учасника/-ці для укладання договору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36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397" w:hanging="17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Інформація про досвід виконання аналогічних робіт  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(зазначається інформація про досвід виконання аналогічних робіт; за можливості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надаються інформація про наявність відгуків щодо виконаних робіт із контактами організації /особи, що надала відгук)</w:t>
      </w:r>
    </w:p>
    <w:p w:rsidR="00000000" w:rsidDel="00000000" w:rsidP="00000000" w:rsidRDefault="00000000" w:rsidRPr="00000000" w14:paraId="00000030">
      <w:pPr>
        <w:keepNext w:val="1"/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397" w:hanging="170"/>
        <w:rPr>
          <w:rFonts w:ascii="Arial" w:cs="Arial" w:eastAsia="Arial" w:hAnsi="Arial"/>
          <w:b w:val="1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Перелік фахівців відповідної кваліфікації, які будуть залучатися до виконання роботи</w:t>
      </w:r>
    </w:p>
    <w:p w:rsidR="00000000" w:rsidDel="00000000" w:rsidP="00000000" w:rsidRDefault="00000000" w:rsidRPr="00000000" w14:paraId="00000031">
      <w:pPr>
        <w:tabs>
          <w:tab w:val="left" w:leader="none" w:pos="-1440"/>
          <w:tab w:val="left" w:leader="none" w:pos="-720"/>
          <w:tab w:val="left" w:leader="none" w:pos="-360"/>
          <w:tab w:val="left" w:leader="none" w:pos="-288"/>
          <w:tab w:val="left" w:leader="none" w:pos="0"/>
          <w:tab w:val="left" w:leader="none" w:pos="360"/>
          <w:tab w:val="left" w:leader="none" w:pos="720"/>
          <w:tab w:val="left" w:leader="none" w:pos="1080"/>
          <w:tab w:val="left" w:leader="none" w:pos="1440"/>
        </w:tabs>
        <w:spacing w:after="280" w:before="280" w:lineRule="auto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(в переліку потрібно навести інформацію про наявність у підприємства працівників відповідної кваліфікації (інженерні та робочі спеціальності), які будуть залучені до виконання робіт.)</w:t>
      </w:r>
    </w:p>
    <w:p w:rsidR="00000000" w:rsidDel="00000000" w:rsidP="00000000" w:rsidRDefault="00000000" w:rsidRPr="00000000" w14:paraId="00000032">
      <w:pPr>
        <w:keepNext w:val="1"/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397" w:hanging="170"/>
        <w:rPr>
          <w:rFonts w:ascii="Arial" w:cs="Arial" w:eastAsia="Arial" w:hAnsi="Arial"/>
          <w:i w:val="1"/>
          <w:color w:val="000000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Загальна вартість робіт та дата завершення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(зазначається загальна вартість робіт та дата їх завершення)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Загальна вартість робіт згідно з Технічним за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вданням становить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 __________________________________________________</w:t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Дата завершення робіт  ___________________________________________________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397" w:hanging="169"/>
        <w:rPr>
          <w:rFonts w:ascii="Arial" w:cs="Arial" w:eastAsia="Arial" w:hAnsi="Arial"/>
          <w:b w:val="1"/>
          <w:color w:val="000000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Порядок оплати робіт 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у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запропонованій нижче таблиці заповніть бажаний графік оплати у % або подайте пропозицію графіку оплати у власному вигляді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2"/>
        <w:tblW w:w="870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9"/>
        <w:gridCol w:w="4025"/>
        <w:tblGridChange w:id="0">
          <w:tblGrid>
            <w:gridCol w:w="4679"/>
            <w:gridCol w:w="4025"/>
          </w:tblGrid>
        </w:tblGridChange>
      </w:tblGrid>
      <w:tr>
        <w:trPr>
          <w:cantSplit w:val="0"/>
          <w:trHeight w:val="799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Аванс, %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Остаточний розрахунок, %</w:t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1"/>
        <w:keepLines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397" w:hanging="170"/>
        <w:rPr>
          <w:rFonts w:ascii="Arial" w:cs="Arial" w:eastAsia="Arial" w:hAnsi="Arial"/>
          <w:b w:val="1"/>
          <w:color w:val="000000"/>
        </w:rPr>
      </w:pPr>
      <w:bookmarkStart w:colFirst="0" w:colLast="0" w:name="_heading=h.act1nmlkmqy7" w:id="5"/>
      <w:bookmarkEnd w:id="5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Супровід та гарантійне обслуговування</w:t>
      </w:r>
    </w:p>
    <w:p w:rsidR="00000000" w:rsidDel="00000000" w:rsidP="00000000" w:rsidRDefault="00000000" w:rsidRPr="00000000" w14:paraId="0000003D">
      <w:pPr>
        <w:spacing w:after="240" w:before="24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(зазначаються умови технічного супроводу та гарантійної підтримки)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397" w:hanging="16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До заявки також додаються (перелік)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992" w:top="2268" w:left="1701" w:right="851" w:header="510" w:footer="51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rFonts w:ascii="Montserrat SemiBold" w:cs="Montserrat SemiBold" w:eastAsia="Montserrat SemiBold" w:hAnsi="Montserrat SemiBold"/>
        <w:color w:val="000000"/>
        <w:sz w:val="18"/>
        <w:szCs w:val="18"/>
      </w:rPr>
    </w:pPr>
    <w:r w:rsidDel="00000000" w:rsidR="00000000" w:rsidRPr="00000000">
      <w:rPr>
        <w:rFonts w:ascii="Montserrat SemiBold" w:cs="Montserrat SemiBold" w:eastAsia="Montserrat SemiBold" w:hAnsi="Montserrat SemiBold"/>
        <w:color w:val="000000"/>
        <w:sz w:val="18"/>
        <w:szCs w:val="18"/>
        <w:rtl w:val="0"/>
      </w:rPr>
      <w:t xml:space="preserve">eef.org.ua</w:t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rFonts w:ascii="Montserrat SemiBold" w:cs="Montserrat SemiBold" w:eastAsia="Montserrat SemiBold" w:hAnsi="Montserrat SemiBold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rFonts w:ascii="Montserrat SemiBold" w:cs="Montserrat SemiBold" w:eastAsia="Montserrat SemiBold" w:hAnsi="Montserrat SemiBold"/>
        <w:color w:val="000000"/>
        <w:sz w:val="18"/>
        <w:szCs w:val="18"/>
      </w:rPr>
    </w:pPr>
    <w:r w:rsidDel="00000000" w:rsidR="00000000" w:rsidRPr="00000000">
      <w:rPr>
        <w:rFonts w:ascii="Montserrat SemiBold" w:cs="Montserrat SemiBold" w:eastAsia="Montserrat SemiBold" w:hAnsi="Montserrat SemiBold"/>
        <w:color w:val="000000"/>
        <w:sz w:val="18"/>
        <w:szCs w:val="18"/>
        <w:rtl w:val="0"/>
      </w:rPr>
      <w:t xml:space="preserve">eef.org.ua</w:t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right"/>
      <w:rPr>
        <w:rFonts w:ascii="Montserrat SemiBold" w:cs="Montserrat SemiBold" w:eastAsia="Montserrat SemiBold" w:hAnsi="Montserrat SemiBold"/>
        <w:color w:val="000000"/>
        <w:sz w:val="18"/>
        <w:szCs w:val="18"/>
      </w:rPr>
    </w:pPr>
    <w:r w:rsidDel="00000000" w:rsidR="00000000" w:rsidRPr="00000000">
      <w:rPr>
        <w:rFonts w:ascii="Montserrat SemiBold" w:cs="Montserrat SemiBold" w:eastAsia="Montserrat SemiBold" w:hAnsi="Montserrat SemiBold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-215897</wp:posOffset>
          </wp:positionH>
          <wp:positionV relativeFrom="paragraph">
            <wp:posOffset>7620</wp:posOffset>
          </wp:positionV>
          <wp:extent cx="1747345" cy="762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113" l="18138" r="17816" t="22114"/>
                  <a:stretch>
                    <a:fillRect/>
                  </a:stretch>
                </pic:blipFill>
                <pic:spPr>
                  <a:xfrm>
                    <a:off x="0" y="0"/>
                    <a:ext cx="1747345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b w:val="1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97" w:hanging="167.99999999999997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97" w:hanging="167.99999999999997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bebd0" w:val="clear"/>
    </w:tc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bebd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OHlP4ovotgnFUxNoQbusRgoMQ==">CgMxLjAyCGguZ2pkZ3hzMgloLjMwajB6bGwyCWguMWZvYjl0ZTIJaC4zem55c2g3MgloLjJldDkycDAyDmguYWN0MW5tbGttcXk3OAByITEtX2xRbk0zYTN0S2FoMS1KRHA1Y3ZOVWFtZ0p6YWNhZg==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