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Заявка на участь у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конкурсі на закупівлю</w:t>
      </w:r>
    </w:p>
    <w:p w:rsidR="00000000" w:rsidDel="00000000" w:rsidP="00000000" w:rsidRDefault="00000000" w:rsidRPr="00000000" w14:paraId="00000003">
      <w:pPr>
        <w:keepNext w:val="1"/>
        <w:shd w:fill="ffffff" w:val="clear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Предмет закупівлі: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Дата заявки:</w:t>
        <w:tab/>
        <w:t xml:space="preserve">_____________________    </w:t>
      </w:r>
    </w:p>
    <w:p w:rsidR="00000000" w:rsidDel="00000000" w:rsidP="00000000" w:rsidRDefault="00000000" w:rsidRPr="00000000" w14:paraId="00000006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Учасник: ____________________________________________________________________________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after="280" w:before="280" w:line="240" w:lineRule="auto"/>
        <w:ind w:firstLine="142"/>
        <w:jc w:val="center"/>
        <w:rPr>
          <w:rFonts w:ascii="Arial" w:cs="Arial" w:eastAsia="Arial" w:hAnsi="Arial"/>
          <w:i w:val="1"/>
          <w:vertAlign w:val="superscript"/>
        </w:rPr>
      </w:pPr>
      <w:r w:rsidDel="00000000" w:rsidR="00000000" w:rsidRPr="00000000">
        <w:rPr>
          <w:rFonts w:ascii="Arial" w:cs="Arial" w:eastAsia="Arial" w:hAnsi="Arial"/>
          <w:i w:val="1"/>
          <w:vertAlign w:val="superscript"/>
          <w:rtl w:val="0"/>
        </w:rPr>
        <w:t xml:space="preserve">(повна назва, код ЄДРПОУ, адреса фактичного місцеперебування)</w:t>
      </w:r>
    </w:p>
    <w:p w:rsidR="00000000" w:rsidDel="00000000" w:rsidP="00000000" w:rsidRDefault="00000000" w:rsidRPr="00000000" w14:paraId="00000008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Повністю ознайомившись та погоджуючись із умовами проведення конкурсу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 разі перемоги зобов'язуємось виконати роботи (поставити товари), що зазначені в документації, до  «___»  __________ 2024 року. </w:t>
      </w:r>
    </w:p>
    <w:p w:rsidR="00000000" w:rsidDel="00000000" w:rsidP="00000000" w:rsidRDefault="00000000" w:rsidRPr="00000000" w14:paraId="0000000B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конкурсній пропозиції. </w:t>
      </w:r>
    </w:p>
    <w:p w:rsidR="00000000" w:rsidDel="00000000" w:rsidP="00000000" w:rsidRDefault="00000000" w:rsidRPr="00000000" w14:paraId="0000000C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Відповідальний за участь у конкурсі: ____________________________________________.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Телефон: __________________________________________________________________.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Електронна адреса: _________________________________________________________.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 заявки також додані (перелік): ___________________________________________________________________________.</w:t>
      </w:r>
    </w:p>
    <w:p w:rsidR="00000000" w:rsidDel="00000000" w:rsidP="00000000" w:rsidRDefault="00000000" w:rsidRPr="00000000" w14:paraId="00000011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Підпис уповноваженого представника організації-претендента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80" w:before="28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М. П.</w:t>
      </w:r>
    </w:p>
    <w:p w:rsidR="00000000" w:rsidDel="00000000" w:rsidP="00000000" w:rsidRDefault="00000000" w:rsidRPr="00000000" w14:paraId="00000013">
      <w:pPr>
        <w:widowControl w:val="0"/>
        <w:spacing w:after="280" w:before="28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Відомості про виконавця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0"/>
        <w:gridCol w:w="3586"/>
        <w:gridCol w:w="5670"/>
        <w:tblGridChange w:id="0">
          <w:tblGrid>
            <w:gridCol w:w="520"/>
            <w:gridCol w:w="3586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80dee2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№ з/п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Вимоги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Для заповнення</w:t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Повне найменування учасника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Ідентифікаційний код учасника </w:t>
              <w:br w:type="textWrapping"/>
              <w:t xml:space="preserve">у ЄДР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Види економічної діяльності учасника (першим має бути зазначений основний вид діяльності)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Місцеперебування:</w:t>
            </w:r>
          </w:p>
          <w:p w:rsidR="00000000" w:rsidDel="00000000" w:rsidP="00000000" w:rsidRDefault="00000000" w:rsidRPr="00000000" w14:paraId="00000023">
            <w:pPr>
              <w:spacing w:after="280" w:before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юридична адреса</w:t>
            </w:r>
          </w:p>
          <w:p w:rsidR="00000000" w:rsidDel="00000000" w:rsidP="00000000" w:rsidRDefault="00000000" w:rsidRPr="00000000" w14:paraId="00000024">
            <w:pPr>
              <w:spacing w:before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Місцеперебування:</w:t>
            </w:r>
          </w:p>
          <w:p w:rsidR="00000000" w:rsidDel="00000000" w:rsidP="00000000" w:rsidRDefault="00000000" w:rsidRPr="00000000" w14:paraId="00000028">
            <w:pPr>
              <w:spacing w:before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фактична адреса </w:t>
              <w:br w:type="textWrapping"/>
              <w:t xml:space="preserve">(якщо відрізняється </w:t>
              <w:br w:type="textWrapping"/>
              <w:t xml:space="preserve">від юридичної)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Банківські реквізити учасника для укладання договору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Опис досвіду виконання аналогічних проєктів та відгуки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Опис команди, яка працюватиме за проєктом</w:t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(зазначається перелік та структура команди, яка працюватиме над виконанням поставлених завдань; до заявки додаються резюме у довільній формі)</w:t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Опис запропонованої стратегії реалізації проєкту</w:t>
      </w:r>
    </w:p>
    <w:p w:rsidR="00000000" w:rsidDel="00000000" w:rsidP="00000000" w:rsidRDefault="00000000" w:rsidRPr="00000000" w14:paraId="00000035">
      <w:pPr>
        <w:widowControl w:val="0"/>
        <w:spacing w:after="280" w:before="28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(зазначається, як саме пропонується реалізувати проєкт, включаючи пропозиції щодо використання певних технологій, джерел даних, документів, підходів тощо та особливості реалізації)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Перелік та вартість етапів 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"/>
        <w:gridCol w:w="1752"/>
        <w:gridCol w:w="5361"/>
        <w:gridCol w:w="1396"/>
        <w:tblGridChange w:id="0">
          <w:tblGrid>
            <w:gridCol w:w="836"/>
            <w:gridCol w:w="1752"/>
            <w:gridCol w:w="5361"/>
            <w:gridCol w:w="1396"/>
          </w:tblGrid>
        </w:tblGridChange>
      </w:tblGrid>
      <w:tr>
        <w:trPr>
          <w:cantSplit w:val="0"/>
          <w:tblHeader w:val="0"/>
        </w:trPr>
        <w:tc>
          <w:tcPr>
            <w:shd w:fill="80dee2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№ етапу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Тривалість, днів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Найменування етапу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Вартість робіт, грн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Загальна вартість та порядок оплати </w:t>
      </w:r>
    </w:p>
    <w:p w:rsidR="00000000" w:rsidDel="00000000" w:rsidP="00000000" w:rsidRDefault="00000000" w:rsidRPr="00000000" w14:paraId="00000042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(зазначається загальна вартість проєкту та порядок оплати; до заявки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має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бути доданий деталізований розрахунок вартості робіт. </w:t>
      </w:r>
      <w:r w:rsidDel="00000000" w:rsidR="00000000" w:rsidRPr="00000000">
        <w:rPr>
          <w:rFonts w:ascii="Arial" w:cs="Arial" w:eastAsia="Arial" w:hAnsi="Arial"/>
          <w:b w:val="1"/>
          <w:i w:val="1"/>
          <w:color w:val="980000"/>
          <w:rtl w:val="0"/>
        </w:rPr>
        <w:t xml:space="preserve">Пропозиція не має містити ПДВ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76" w:lineRule="auto"/>
        <w:rPr>
          <w:rFonts w:ascii="Montserrat" w:cs="Montserrat" w:eastAsia="Montserrat" w:hAnsi="Montserrat"/>
          <w:color w:val="2e2e2e"/>
          <w:sz w:val="18"/>
          <w:szCs w:val="18"/>
          <w:highlight w:val="green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У зв‘язку з тим, що фінансування досліджень здійснюється за рахунок коштів міжнародної технічної допомоги в межах Угоди між Урядом України та Урядом США про гуманітарне та техніко-економічне співробітництво, Фонд Східна Європа звільняється від сплати ПДВ. Рекомендується отримати додаткову інформацію щодо реалізації такого права до моменту підписання контракту.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kzym362lmpzp" w:id="0"/>
      <w:bookmarkEnd w:id="0"/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40"/>
        <w:gridCol w:w="1230"/>
        <w:gridCol w:w="1305"/>
        <w:gridCol w:w="1290"/>
        <w:gridCol w:w="1680"/>
        <w:tblGridChange w:id="0">
          <w:tblGrid>
            <w:gridCol w:w="3840"/>
            <w:gridCol w:w="1230"/>
            <w:gridCol w:w="1305"/>
            <w:gridCol w:w="1290"/>
            <w:gridCol w:w="1680"/>
          </w:tblGrid>
        </w:tblGridChange>
      </w:tblGrid>
      <w:tr>
        <w:trPr>
          <w:cantSplit w:val="0"/>
          <w:tblHeader w:val="0"/>
        </w:trPr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Стаття видатків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Одиниця виміру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Кількість одиниць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Ціна за одиницю, грн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Загальна вартість статті, грн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f3863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k6fk3pvkra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Загальна тривалість виконання робіт</w:t>
      </w:r>
    </w:p>
    <w:p w:rsidR="00000000" w:rsidDel="00000000" w:rsidP="00000000" w:rsidRDefault="00000000" w:rsidRPr="00000000" w14:paraId="00000051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(зазначається загальна тривалість проєкту)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993" w:top="2964" w:left="1701" w:right="850" w:header="708" w:footer="572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eef.org.ua</w:t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eef.org.ua</w:t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140970</wp:posOffset>
          </wp:positionV>
          <wp:extent cx="1747345" cy="762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114" l="18138" r="17816" t="22115"/>
                  <a:stretch>
                    <a:fillRect/>
                  </a:stretch>
                </pic:blipFill>
                <pic:spPr>
                  <a:xfrm>
                    <a:off x="0" y="0"/>
                    <a:ext cx="1747345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Фонд Східна Європа</w:t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G19azQZbNCe4nmaHe1sk/lxSEw==">CgMxLjAyDmgua3p5bTM2MmxtcHpwMg5oLmdrNmZrM3B2a3JhcDgAciExT1lrX1ZLYWdGTlNIZy04NVpIUVJJZ095NTRxX3pXdGk=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